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B109F" w14:textId="62C9582E" w:rsidR="007A1715" w:rsidRPr="007A1715" w:rsidRDefault="007A1715" w:rsidP="007A1715">
      <w:pPr>
        <w:pStyle w:val="NormalWeb"/>
        <w:jc w:val="center"/>
        <w:rPr>
          <w:rFonts w:asciiTheme="minorHAnsi" w:hAnsiTheme="minorHAnsi" w:cstheme="minorHAnsi"/>
          <w:lang w:val="en-US"/>
        </w:rPr>
      </w:pPr>
      <w:r w:rsidRPr="007A1715">
        <w:rPr>
          <w:rFonts w:asciiTheme="minorHAnsi" w:hAnsiTheme="minorHAnsi" w:cstheme="minorHAnsi"/>
          <w:lang w:val="en-US"/>
        </w:rPr>
        <w:t>A NEW INDICATION FOR SOLUBLE EPOXIDE HYDROLASE INHIBITORS: DESIGN, SYNTHESIS AND IN VIVO EVALUATION OF NOVEL UREAS IN A MURINE MODEL OF CHEMOTHERAPY-INDUCED NEUROPATHIC PAIN</w:t>
      </w:r>
    </w:p>
    <w:p w14:paraId="5A364921" w14:textId="6FA066B4" w:rsidR="007B05A3" w:rsidRDefault="00DA5A30" w:rsidP="007B05A3">
      <w:pPr>
        <w:pStyle w:val="Senseespaiat"/>
        <w:jc w:val="both"/>
        <w:rPr>
          <w:lang w:val="ca-ES"/>
        </w:rPr>
      </w:pPr>
      <w:r w:rsidRPr="007A1715">
        <w:rPr>
          <w:lang w:val="ca-ES"/>
        </w:rPr>
        <w:t>Sandra Codony</w:t>
      </w:r>
      <w:r w:rsidRPr="007A1715">
        <w:rPr>
          <w:vertAlign w:val="superscript"/>
          <w:lang w:val="ca-ES"/>
        </w:rPr>
        <w:t>1</w:t>
      </w:r>
      <w:r w:rsidRPr="007A1715">
        <w:rPr>
          <w:lang w:val="ca-ES"/>
        </w:rPr>
        <w:t xml:space="preserve">, </w:t>
      </w:r>
      <w:proofErr w:type="spellStart"/>
      <w:r w:rsidRPr="007A1715">
        <w:rPr>
          <w:lang w:val="ca-ES"/>
        </w:rPr>
        <w:t>Beatrice</w:t>
      </w:r>
      <w:proofErr w:type="spellEnd"/>
      <w:r w:rsidRPr="007A1715">
        <w:rPr>
          <w:lang w:val="ca-ES"/>
        </w:rPr>
        <w:t xml:space="preserve"> Jora</w:t>
      </w:r>
      <w:r w:rsidRPr="007A1715">
        <w:rPr>
          <w:vertAlign w:val="superscript"/>
          <w:lang w:val="ca-ES"/>
        </w:rPr>
        <w:t>1</w:t>
      </w:r>
      <w:r w:rsidRPr="007A1715">
        <w:rPr>
          <w:lang w:val="ca-ES"/>
        </w:rPr>
        <w:t xml:space="preserve">, </w:t>
      </w:r>
      <w:proofErr w:type="spellStart"/>
      <w:r w:rsidR="00C76C09" w:rsidRPr="007A1715">
        <w:rPr>
          <w:lang w:val="ca-ES"/>
        </w:rPr>
        <w:t>Miriam</w:t>
      </w:r>
      <w:proofErr w:type="spellEnd"/>
      <w:r w:rsidR="00C76C09" w:rsidRPr="007A1715">
        <w:rPr>
          <w:lang w:val="ca-ES"/>
        </w:rPr>
        <w:t xml:space="preserve"> Santos-Caballero</w:t>
      </w:r>
      <w:r w:rsidR="00C76C09" w:rsidRPr="007A1715">
        <w:rPr>
          <w:vertAlign w:val="superscript"/>
          <w:lang w:val="ca-ES"/>
        </w:rPr>
        <w:t>2</w:t>
      </w:r>
      <w:r w:rsidR="00C76C09" w:rsidRPr="007A1715">
        <w:rPr>
          <w:lang w:val="ca-ES"/>
        </w:rPr>
        <w:t xml:space="preserve">, </w:t>
      </w:r>
      <w:proofErr w:type="spellStart"/>
      <w:r w:rsidRPr="007A1715">
        <w:rPr>
          <w:lang w:val="ca-ES"/>
        </w:rPr>
        <w:t>Andreea</w:t>
      </w:r>
      <w:proofErr w:type="spellEnd"/>
      <w:r w:rsidRPr="007A1715">
        <w:rPr>
          <w:lang w:val="ca-ES"/>
        </w:rPr>
        <w:t xml:space="preserve"> L. Turcu</w:t>
      </w:r>
      <w:r w:rsidRPr="007A1715">
        <w:rPr>
          <w:vertAlign w:val="superscript"/>
          <w:lang w:val="ca-ES"/>
        </w:rPr>
        <w:t>1</w:t>
      </w:r>
      <w:r w:rsidRPr="007A1715">
        <w:rPr>
          <w:lang w:val="ca-ES"/>
        </w:rPr>
        <w:t>, Carla Calvó-Tusell</w:t>
      </w:r>
      <w:r w:rsidR="00C76C09" w:rsidRPr="007A1715">
        <w:rPr>
          <w:vertAlign w:val="superscript"/>
          <w:lang w:val="ca-ES"/>
        </w:rPr>
        <w:t>3</w:t>
      </w:r>
      <w:r w:rsidRPr="007A1715">
        <w:rPr>
          <w:lang w:val="ca-ES"/>
        </w:rPr>
        <w:t xml:space="preserve">, </w:t>
      </w:r>
      <w:proofErr w:type="spellStart"/>
      <w:r w:rsidRPr="007A1715">
        <w:rPr>
          <w:lang w:val="ca-ES"/>
        </w:rPr>
        <w:t>Christophe</w:t>
      </w:r>
      <w:proofErr w:type="spellEnd"/>
      <w:r w:rsidRPr="007A1715">
        <w:rPr>
          <w:lang w:val="ca-ES"/>
        </w:rPr>
        <w:t xml:space="preserve"> Morisseau</w:t>
      </w:r>
      <w:r w:rsidR="00C76C09" w:rsidRPr="007A1715">
        <w:rPr>
          <w:vertAlign w:val="superscript"/>
          <w:lang w:val="ca-ES"/>
        </w:rPr>
        <w:t>4</w:t>
      </w:r>
      <w:r w:rsidRPr="007A1715">
        <w:rPr>
          <w:lang w:val="ca-ES"/>
        </w:rPr>
        <w:t>, M. Isabel Loza</w:t>
      </w:r>
      <w:r w:rsidR="00C76C09" w:rsidRPr="007A1715">
        <w:rPr>
          <w:vertAlign w:val="superscript"/>
          <w:lang w:val="ca-ES"/>
        </w:rPr>
        <w:t>5</w:t>
      </w:r>
      <w:r w:rsidRPr="007A1715">
        <w:rPr>
          <w:lang w:val="ca-ES"/>
        </w:rPr>
        <w:t>, José M. Brea</w:t>
      </w:r>
      <w:r w:rsidR="00C76C09" w:rsidRPr="007A1715">
        <w:rPr>
          <w:vertAlign w:val="superscript"/>
          <w:lang w:val="ca-ES"/>
        </w:rPr>
        <w:t>5</w:t>
      </w:r>
      <w:r w:rsidRPr="007A1715">
        <w:rPr>
          <w:lang w:val="ca-ES"/>
        </w:rPr>
        <w:t>, Clara Bartra</w:t>
      </w:r>
      <w:r w:rsidR="00C76C09" w:rsidRPr="007A1715">
        <w:rPr>
          <w:vertAlign w:val="superscript"/>
          <w:lang w:val="ca-ES"/>
        </w:rPr>
        <w:t>6</w:t>
      </w:r>
      <w:r w:rsidRPr="007A1715">
        <w:rPr>
          <w:lang w:val="ca-ES"/>
        </w:rPr>
        <w:t>, Coral Sanfeliu</w:t>
      </w:r>
      <w:r w:rsidRPr="007A1715">
        <w:rPr>
          <w:vertAlign w:val="superscript"/>
          <w:lang w:val="ca-ES"/>
        </w:rPr>
        <w:t>6</w:t>
      </w:r>
      <w:r w:rsidRPr="007A1715">
        <w:rPr>
          <w:lang w:val="ca-ES"/>
        </w:rPr>
        <w:t xml:space="preserve">, </w:t>
      </w:r>
      <w:r w:rsidR="00C76C09" w:rsidRPr="007A1715">
        <w:rPr>
          <w:lang w:val="ca-ES"/>
        </w:rPr>
        <w:t>Belén Pérez</w:t>
      </w:r>
      <w:r w:rsidR="00C76C09" w:rsidRPr="007A1715">
        <w:rPr>
          <w:vertAlign w:val="superscript"/>
          <w:lang w:val="ca-ES"/>
        </w:rPr>
        <w:t>7</w:t>
      </w:r>
      <w:r w:rsidR="00C76C09" w:rsidRPr="007A1715">
        <w:rPr>
          <w:lang w:val="ca-ES"/>
        </w:rPr>
        <w:t xml:space="preserve">, </w:t>
      </w:r>
      <w:r w:rsidRPr="007A1715">
        <w:rPr>
          <w:iCs/>
          <w:lang w:val="ca-ES"/>
        </w:rPr>
        <w:t>Christian Griñán-Ferré</w:t>
      </w:r>
      <w:r w:rsidR="00C76C09" w:rsidRPr="007A1715">
        <w:rPr>
          <w:vertAlign w:val="superscript"/>
          <w:lang w:val="ca-ES"/>
        </w:rPr>
        <w:t>8</w:t>
      </w:r>
      <w:r w:rsidRPr="007A1715">
        <w:rPr>
          <w:iCs/>
          <w:lang w:val="ca-ES"/>
        </w:rPr>
        <w:t>, Mercè Pallàs</w:t>
      </w:r>
      <w:r w:rsidR="00C76C09" w:rsidRPr="007A1715">
        <w:rPr>
          <w:vertAlign w:val="superscript"/>
          <w:lang w:val="ca-ES"/>
        </w:rPr>
        <w:t>8</w:t>
      </w:r>
      <w:r w:rsidRPr="007A1715">
        <w:rPr>
          <w:iCs/>
          <w:lang w:val="ca-ES"/>
        </w:rPr>
        <w:t>, Bruce D. Hammock</w:t>
      </w:r>
      <w:r w:rsidR="00C76C09" w:rsidRPr="007A1715">
        <w:rPr>
          <w:vertAlign w:val="superscript"/>
          <w:lang w:val="ca-ES"/>
        </w:rPr>
        <w:t>4</w:t>
      </w:r>
      <w:r w:rsidRPr="007A1715">
        <w:rPr>
          <w:iCs/>
          <w:lang w:val="ca-ES"/>
        </w:rPr>
        <w:t>, Sílvia Osuna</w:t>
      </w:r>
      <w:r w:rsidR="00C76C09" w:rsidRPr="007A1715">
        <w:rPr>
          <w:iCs/>
          <w:vertAlign w:val="superscript"/>
          <w:lang w:val="ca-ES"/>
        </w:rPr>
        <w:t>3</w:t>
      </w:r>
      <w:r w:rsidRPr="007A1715">
        <w:rPr>
          <w:iCs/>
          <w:vertAlign w:val="superscript"/>
          <w:lang w:val="ca-ES"/>
        </w:rPr>
        <w:t>,</w:t>
      </w:r>
      <w:r w:rsidR="00C76C09" w:rsidRPr="007A1715">
        <w:rPr>
          <w:iCs/>
          <w:vertAlign w:val="superscript"/>
          <w:lang w:val="ca-ES"/>
        </w:rPr>
        <w:t>9</w:t>
      </w:r>
      <w:r w:rsidRPr="007A1715">
        <w:rPr>
          <w:iCs/>
          <w:lang w:val="ca-ES"/>
        </w:rPr>
        <w:t>, Ferran Feixas</w:t>
      </w:r>
      <w:r w:rsidR="00C76C09" w:rsidRPr="007A1715">
        <w:rPr>
          <w:iCs/>
          <w:vertAlign w:val="superscript"/>
          <w:lang w:val="ca-ES"/>
        </w:rPr>
        <w:t>3</w:t>
      </w:r>
      <w:r w:rsidRPr="007A1715">
        <w:rPr>
          <w:iCs/>
          <w:lang w:val="ca-ES"/>
        </w:rPr>
        <w:t>, Enrique J. Cobos</w:t>
      </w:r>
      <w:r w:rsidR="00C76C09" w:rsidRPr="007A1715">
        <w:rPr>
          <w:vertAlign w:val="superscript"/>
          <w:lang w:val="ca-ES"/>
        </w:rPr>
        <w:t>2</w:t>
      </w:r>
      <w:r w:rsidR="007A1715">
        <w:rPr>
          <w:lang w:val="ca-ES"/>
        </w:rPr>
        <w:t xml:space="preserve">, </w:t>
      </w:r>
      <w:r w:rsidR="007A1715" w:rsidRPr="007A1715">
        <w:rPr>
          <w:lang w:val="ca-ES"/>
        </w:rPr>
        <w:t>Santiago Vázquez</w:t>
      </w:r>
      <w:r w:rsidR="007A1715" w:rsidRPr="007A1715">
        <w:rPr>
          <w:vertAlign w:val="superscript"/>
          <w:lang w:val="ca-ES"/>
        </w:rPr>
        <w:t>1</w:t>
      </w:r>
      <w:r w:rsidR="007A1715">
        <w:rPr>
          <w:lang w:val="ca-ES"/>
        </w:rPr>
        <w:t>.</w:t>
      </w:r>
    </w:p>
    <w:p w14:paraId="779100EC" w14:textId="77777777" w:rsidR="007B05A3" w:rsidRPr="007B05A3" w:rsidRDefault="007B05A3" w:rsidP="007B05A3">
      <w:pPr>
        <w:pStyle w:val="Senseespaiat"/>
        <w:rPr>
          <w:sz w:val="20"/>
          <w:szCs w:val="20"/>
          <w:lang w:val="ca-ES"/>
        </w:rPr>
      </w:pPr>
    </w:p>
    <w:p w14:paraId="0D65BAC9" w14:textId="1A76CA29" w:rsidR="00DA5A30" w:rsidRDefault="00DA5A30" w:rsidP="007B05A3">
      <w:pPr>
        <w:pStyle w:val="Senseespaiat"/>
        <w:jc w:val="both"/>
        <w:rPr>
          <w:sz w:val="18"/>
          <w:szCs w:val="18"/>
        </w:rPr>
      </w:pPr>
      <w:r w:rsidRPr="007B05A3">
        <w:rPr>
          <w:rFonts w:eastAsia="Times New Roman"/>
          <w:color w:val="5B616B"/>
          <w:sz w:val="18"/>
          <w:szCs w:val="18"/>
          <w:vertAlign w:val="superscript"/>
          <w:lang w:eastAsia="en-GB"/>
        </w:rPr>
        <w:t>1</w:t>
      </w:r>
      <w:r w:rsidRPr="007B05A3">
        <w:rPr>
          <w:rFonts w:eastAsia="Times New Roman"/>
          <w:color w:val="212121"/>
          <w:sz w:val="18"/>
          <w:szCs w:val="18"/>
          <w:lang w:eastAsia="en-GB"/>
        </w:rPr>
        <w:t xml:space="preserve">Laboratori de Química </w:t>
      </w:r>
      <w:proofErr w:type="spellStart"/>
      <w:r w:rsidRPr="007B05A3">
        <w:rPr>
          <w:rFonts w:eastAsia="Times New Roman"/>
          <w:color w:val="212121"/>
          <w:sz w:val="18"/>
          <w:szCs w:val="18"/>
          <w:lang w:eastAsia="en-GB"/>
        </w:rPr>
        <w:t>Farmacèutica</w:t>
      </w:r>
      <w:proofErr w:type="spellEnd"/>
      <w:r w:rsidRPr="007B05A3">
        <w:rPr>
          <w:rFonts w:eastAsia="Times New Roman"/>
          <w:color w:val="212121"/>
          <w:sz w:val="18"/>
          <w:szCs w:val="18"/>
          <w:lang w:eastAsia="en-GB"/>
        </w:rPr>
        <w:t xml:space="preserve"> (</w:t>
      </w:r>
      <w:proofErr w:type="spellStart"/>
      <w:r w:rsidRPr="007B05A3">
        <w:rPr>
          <w:rFonts w:eastAsia="Times New Roman"/>
          <w:color w:val="212121"/>
          <w:sz w:val="18"/>
          <w:szCs w:val="18"/>
          <w:lang w:eastAsia="en-GB"/>
        </w:rPr>
        <w:t>Unitat</w:t>
      </w:r>
      <w:proofErr w:type="spellEnd"/>
      <w:r w:rsidRPr="007B05A3">
        <w:rPr>
          <w:rFonts w:eastAsia="Times New Roman"/>
          <w:color w:val="212121"/>
          <w:sz w:val="18"/>
          <w:szCs w:val="18"/>
          <w:lang w:eastAsia="en-GB"/>
        </w:rPr>
        <w:t xml:space="preserve"> </w:t>
      </w:r>
      <w:proofErr w:type="spellStart"/>
      <w:r w:rsidRPr="007B05A3">
        <w:rPr>
          <w:rFonts w:eastAsia="Times New Roman"/>
          <w:color w:val="212121"/>
          <w:sz w:val="18"/>
          <w:szCs w:val="18"/>
          <w:lang w:eastAsia="en-GB"/>
        </w:rPr>
        <w:t>Associada</w:t>
      </w:r>
      <w:proofErr w:type="spellEnd"/>
      <w:r w:rsidRPr="007B05A3">
        <w:rPr>
          <w:rFonts w:eastAsia="Times New Roman"/>
          <w:color w:val="212121"/>
          <w:sz w:val="18"/>
          <w:szCs w:val="18"/>
          <w:lang w:eastAsia="en-GB"/>
        </w:rPr>
        <w:t xml:space="preserve"> al CSIC), </w:t>
      </w:r>
      <w:proofErr w:type="spellStart"/>
      <w:r w:rsidRPr="007B05A3">
        <w:rPr>
          <w:rFonts w:eastAsia="Times New Roman"/>
          <w:color w:val="212121"/>
          <w:sz w:val="18"/>
          <w:szCs w:val="18"/>
          <w:lang w:eastAsia="en-GB"/>
        </w:rPr>
        <w:t>Facultat</w:t>
      </w:r>
      <w:proofErr w:type="spellEnd"/>
      <w:r w:rsidRPr="007B05A3">
        <w:rPr>
          <w:rFonts w:eastAsia="Times New Roman"/>
          <w:color w:val="212121"/>
          <w:sz w:val="18"/>
          <w:szCs w:val="18"/>
          <w:lang w:eastAsia="en-GB"/>
        </w:rPr>
        <w:t xml:space="preserve"> de </w:t>
      </w:r>
      <w:proofErr w:type="spellStart"/>
      <w:r w:rsidRPr="007B05A3">
        <w:rPr>
          <w:rFonts w:eastAsia="Times New Roman"/>
          <w:color w:val="212121"/>
          <w:sz w:val="18"/>
          <w:szCs w:val="18"/>
          <w:lang w:eastAsia="en-GB"/>
        </w:rPr>
        <w:t>Farmàcia</w:t>
      </w:r>
      <w:proofErr w:type="spellEnd"/>
      <w:r w:rsidRPr="007B05A3">
        <w:rPr>
          <w:rFonts w:eastAsia="Times New Roman"/>
          <w:color w:val="212121"/>
          <w:sz w:val="18"/>
          <w:szCs w:val="18"/>
          <w:lang w:eastAsia="en-GB"/>
        </w:rPr>
        <w:t xml:space="preserve"> i </w:t>
      </w:r>
      <w:proofErr w:type="spellStart"/>
      <w:r w:rsidRPr="007B05A3">
        <w:rPr>
          <w:rFonts w:eastAsia="Times New Roman"/>
          <w:color w:val="212121"/>
          <w:sz w:val="18"/>
          <w:szCs w:val="18"/>
          <w:lang w:eastAsia="en-GB"/>
        </w:rPr>
        <w:t>Ciències</w:t>
      </w:r>
      <w:proofErr w:type="spellEnd"/>
      <w:r w:rsidRPr="007B05A3">
        <w:rPr>
          <w:rFonts w:eastAsia="Times New Roman"/>
          <w:color w:val="212121"/>
          <w:sz w:val="18"/>
          <w:szCs w:val="18"/>
          <w:lang w:eastAsia="en-GB"/>
        </w:rPr>
        <w:t xml:space="preserve"> de </w:t>
      </w:r>
      <w:proofErr w:type="spellStart"/>
      <w:r w:rsidRPr="007B05A3">
        <w:rPr>
          <w:rFonts w:eastAsia="Times New Roman"/>
          <w:color w:val="212121"/>
          <w:sz w:val="18"/>
          <w:szCs w:val="18"/>
          <w:lang w:eastAsia="en-GB"/>
        </w:rPr>
        <w:t>l'Alimentació</w:t>
      </w:r>
      <w:proofErr w:type="spellEnd"/>
      <w:r w:rsidRPr="007B05A3">
        <w:rPr>
          <w:rFonts w:eastAsia="Times New Roman"/>
          <w:color w:val="212121"/>
          <w:sz w:val="18"/>
          <w:szCs w:val="18"/>
          <w:lang w:eastAsia="en-GB"/>
        </w:rPr>
        <w:t xml:space="preserve"> i </w:t>
      </w:r>
      <w:proofErr w:type="spellStart"/>
      <w:r w:rsidRPr="007B05A3">
        <w:rPr>
          <w:rFonts w:eastAsia="Times New Roman"/>
          <w:color w:val="212121"/>
          <w:sz w:val="18"/>
          <w:szCs w:val="18"/>
          <w:lang w:eastAsia="en-GB"/>
        </w:rPr>
        <w:t>Institut</w:t>
      </w:r>
      <w:proofErr w:type="spellEnd"/>
      <w:r w:rsidRPr="007B05A3">
        <w:rPr>
          <w:rFonts w:eastAsia="Times New Roman"/>
          <w:color w:val="212121"/>
          <w:sz w:val="18"/>
          <w:szCs w:val="18"/>
          <w:lang w:eastAsia="en-GB"/>
        </w:rPr>
        <w:t xml:space="preserve"> de Biomedicina (IBUB), </w:t>
      </w:r>
      <w:proofErr w:type="spellStart"/>
      <w:r w:rsidRPr="007B05A3">
        <w:rPr>
          <w:rFonts w:eastAsia="Times New Roman"/>
          <w:color w:val="212121"/>
          <w:sz w:val="18"/>
          <w:szCs w:val="18"/>
          <w:lang w:eastAsia="en-GB"/>
        </w:rPr>
        <w:t>Universitat</w:t>
      </w:r>
      <w:proofErr w:type="spellEnd"/>
      <w:r w:rsidRPr="007B05A3">
        <w:rPr>
          <w:rFonts w:eastAsia="Times New Roman"/>
          <w:color w:val="212121"/>
          <w:sz w:val="18"/>
          <w:szCs w:val="18"/>
          <w:lang w:eastAsia="en-GB"/>
        </w:rPr>
        <w:t xml:space="preserve"> de Barcelona, Av. </w:t>
      </w:r>
      <w:r w:rsidRPr="007B05A3">
        <w:rPr>
          <w:rFonts w:eastAsia="Times New Roman"/>
          <w:color w:val="212121"/>
          <w:sz w:val="18"/>
          <w:szCs w:val="18"/>
          <w:lang w:val="en-GB" w:eastAsia="en-GB"/>
        </w:rPr>
        <w:t xml:space="preserve">Joan XXIII, 27-31, 08028 Barcelona, Spain. </w:t>
      </w:r>
      <w:r w:rsidRPr="007B05A3">
        <w:rPr>
          <w:sz w:val="18"/>
          <w:szCs w:val="18"/>
          <w:vertAlign w:val="superscript"/>
          <w:lang w:val="en-GB"/>
        </w:rPr>
        <w:t>2</w:t>
      </w:r>
      <w:r w:rsidRPr="007B05A3">
        <w:rPr>
          <w:color w:val="212121"/>
          <w:sz w:val="18"/>
          <w:szCs w:val="18"/>
          <w:shd w:val="clear" w:color="auto" w:fill="FFFFFF"/>
          <w:lang w:val="en-US"/>
        </w:rPr>
        <w:t xml:space="preserve">Department of Pharmacology, </w:t>
      </w:r>
      <w:r w:rsidRPr="007B05A3">
        <w:rPr>
          <w:iCs/>
          <w:sz w:val="18"/>
          <w:szCs w:val="18"/>
          <w:lang w:val="en-GB"/>
        </w:rPr>
        <w:t xml:space="preserve">Faculty of Medicine and Biomedical Research </w:t>
      </w:r>
      <w:proofErr w:type="spellStart"/>
      <w:r w:rsidRPr="007B05A3">
        <w:rPr>
          <w:iCs/>
          <w:sz w:val="18"/>
          <w:szCs w:val="18"/>
          <w:lang w:val="en-GB"/>
        </w:rPr>
        <w:t>Center</w:t>
      </w:r>
      <w:proofErr w:type="spellEnd"/>
      <w:r w:rsidRPr="007B05A3">
        <w:rPr>
          <w:iCs/>
          <w:sz w:val="18"/>
          <w:szCs w:val="18"/>
          <w:lang w:val="en-GB"/>
        </w:rPr>
        <w:t xml:space="preserve"> (Neurosciences Institute), University of Granada. </w:t>
      </w:r>
      <w:proofErr w:type="spellStart"/>
      <w:r w:rsidRPr="007B05A3">
        <w:rPr>
          <w:iCs/>
          <w:sz w:val="18"/>
          <w:szCs w:val="18"/>
        </w:rPr>
        <w:t>Biosanitary</w:t>
      </w:r>
      <w:proofErr w:type="spellEnd"/>
      <w:r w:rsidRPr="007B05A3">
        <w:rPr>
          <w:iCs/>
          <w:sz w:val="18"/>
          <w:szCs w:val="18"/>
        </w:rPr>
        <w:t xml:space="preserve"> </w:t>
      </w:r>
      <w:proofErr w:type="spellStart"/>
      <w:r w:rsidRPr="007B05A3">
        <w:rPr>
          <w:iCs/>
          <w:sz w:val="18"/>
          <w:szCs w:val="18"/>
        </w:rPr>
        <w:t>Research</w:t>
      </w:r>
      <w:proofErr w:type="spellEnd"/>
      <w:r w:rsidRPr="007B05A3">
        <w:rPr>
          <w:iCs/>
          <w:sz w:val="18"/>
          <w:szCs w:val="18"/>
        </w:rPr>
        <w:t xml:space="preserve"> </w:t>
      </w:r>
      <w:proofErr w:type="spellStart"/>
      <w:r w:rsidRPr="007B05A3">
        <w:rPr>
          <w:iCs/>
          <w:sz w:val="18"/>
          <w:szCs w:val="18"/>
        </w:rPr>
        <w:t>Institute</w:t>
      </w:r>
      <w:proofErr w:type="spellEnd"/>
      <w:r w:rsidRPr="007B05A3">
        <w:rPr>
          <w:iCs/>
          <w:sz w:val="18"/>
          <w:szCs w:val="18"/>
        </w:rPr>
        <w:t xml:space="preserve"> </w:t>
      </w:r>
      <w:proofErr w:type="spellStart"/>
      <w:proofErr w:type="gramStart"/>
      <w:r w:rsidRPr="007B05A3">
        <w:rPr>
          <w:iCs/>
          <w:sz w:val="18"/>
          <w:szCs w:val="18"/>
        </w:rPr>
        <w:t>ibs.GRANADA</w:t>
      </w:r>
      <w:proofErr w:type="spellEnd"/>
      <w:proofErr w:type="gramEnd"/>
      <w:r w:rsidRPr="007B05A3">
        <w:rPr>
          <w:iCs/>
          <w:sz w:val="18"/>
          <w:szCs w:val="18"/>
        </w:rPr>
        <w:t>,</w:t>
      </w:r>
      <w:r w:rsidRPr="007B05A3">
        <w:rPr>
          <w:color w:val="212121"/>
          <w:sz w:val="18"/>
          <w:szCs w:val="18"/>
          <w:shd w:val="clear" w:color="auto" w:fill="FFFFFF"/>
        </w:rPr>
        <w:t xml:space="preserve"> Avenida de la Investigación 11, 18016</w:t>
      </w:r>
      <w:r w:rsidRPr="007B05A3">
        <w:rPr>
          <w:sz w:val="18"/>
          <w:szCs w:val="18"/>
        </w:rPr>
        <w:t xml:space="preserve">, Granada, </w:t>
      </w:r>
      <w:proofErr w:type="spellStart"/>
      <w:r w:rsidRPr="007B05A3">
        <w:rPr>
          <w:sz w:val="18"/>
          <w:szCs w:val="18"/>
        </w:rPr>
        <w:t>Spain</w:t>
      </w:r>
      <w:proofErr w:type="spellEnd"/>
      <w:r w:rsidRPr="007B05A3">
        <w:rPr>
          <w:sz w:val="18"/>
          <w:szCs w:val="18"/>
        </w:rPr>
        <w:t xml:space="preserve">. </w:t>
      </w:r>
      <w:r w:rsidRPr="007B05A3">
        <w:rPr>
          <w:color w:val="212121"/>
          <w:sz w:val="18"/>
          <w:szCs w:val="18"/>
          <w:shd w:val="clear" w:color="auto" w:fill="FFFFFF"/>
          <w:vertAlign w:val="superscript"/>
        </w:rPr>
        <w:t>3</w:t>
      </w:r>
      <w:r w:rsidRPr="007B05A3">
        <w:rPr>
          <w:sz w:val="18"/>
          <w:szCs w:val="18"/>
        </w:rPr>
        <w:t xml:space="preserve">CompBioLab </w:t>
      </w:r>
      <w:proofErr w:type="spellStart"/>
      <w:r w:rsidRPr="007B05A3">
        <w:rPr>
          <w:sz w:val="18"/>
          <w:szCs w:val="18"/>
        </w:rPr>
        <w:t>Group</w:t>
      </w:r>
      <w:proofErr w:type="spellEnd"/>
      <w:r w:rsidRPr="007B05A3">
        <w:rPr>
          <w:sz w:val="18"/>
          <w:szCs w:val="18"/>
        </w:rPr>
        <w:t xml:space="preserve">, </w:t>
      </w:r>
      <w:proofErr w:type="spellStart"/>
      <w:r w:rsidRPr="007B05A3">
        <w:rPr>
          <w:sz w:val="18"/>
          <w:szCs w:val="18"/>
        </w:rPr>
        <w:t>Departament</w:t>
      </w:r>
      <w:proofErr w:type="spellEnd"/>
      <w:r w:rsidRPr="007B05A3">
        <w:rPr>
          <w:sz w:val="18"/>
          <w:szCs w:val="18"/>
        </w:rPr>
        <w:t xml:space="preserve"> de Química and </w:t>
      </w:r>
      <w:proofErr w:type="spellStart"/>
      <w:r w:rsidRPr="007B05A3">
        <w:rPr>
          <w:sz w:val="18"/>
          <w:szCs w:val="18"/>
        </w:rPr>
        <w:t>Institut</w:t>
      </w:r>
      <w:proofErr w:type="spellEnd"/>
      <w:r w:rsidRPr="007B05A3">
        <w:rPr>
          <w:sz w:val="18"/>
          <w:szCs w:val="18"/>
        </w:rPr>
        <w:t xml:space="preserve"> de Química Computacional i </w:t>
      </w:r>
      <w:proofErr w:type="spellStart"/>
      <w:r w:rsidRPr="007B05A3">
        <w:rPr>
          <w:sz w:val="18"/>
          <w:szCs w:val="18"/>
        </w:rPr>
        <w:t>Catàlisi</w:t>
      </w:r>
      <w:proofErr w:type="spellEnd"/>
      <w:r w:rsidRPr="007B05A3">
        <w:rPr>
          <w:sz w:val="18"/>
          <w:szCs w:val="18"/>
        </w:rPr>
        <w:t xml:space="preserve"> (IQCC), </w:t>
      </w:r>
      <w:proofErr w:type="spellStart"/>
      <w:r w:rsidRPr="007B05A3">
        <w:rPr>
          <w:sz w:val="18"/>
          <w:szCs w:val="18"/>
        </w:rPr>
        <w:t>Universitat</w:t>
      </w:r>
      <w:proofErr w:type="spellEnd"/>
      <w:r w:rsidRPr="007B05A3">
        <w:rPr>
          <w:sz w:val="18"/>
          <w:szCs w:val="18"/>
        </w:rPr>
        <w:t xml:space="preserve"> de Girona, C/ </w:t>
      </w:r>
      <w:proofErr w:type="spellStart"/>
      <w:r w:rsidRPr="007B05A3">
        <w:rPr>
          <w:sz w:val="18"/>
          <w:szCs w:val="18"/>
        </w:rPr>
        <w:t>Maria</w:t>
      </w:r>
      <w:proofErr w:type="spellEnd"/>
      <w:r w:rsidRPr="007B05A3">
        <w:rPr>
          <w:sz w:val="18"/>
          <w:szCs w:val="18"/>
        </w:rPr>
        <w:t xml:space="preserve"> </w:t>
      </w:r>
      <w:proofErr w:type="spellStart"/>
      <w:r w:rsidRPr="007B05A3">
        <w:rPr>
          <w:sz w:val="18"/>
          <w:szCs w:val="18"/>
        </w:rPr>
        <w:t>Aurèlia</w:t>
      </w:r>
      <w:proofErr w:type="spellEnd"/>
      <w:r w:rsidRPr="007B05A3">
        <w:rPr>
          <w:sz w:val="18"/>
          <w:szCs w:val="18"/>
        </w:rPr>
        <w:t xml:space="preserve"> Capmany 69, 17003 Girona, </w:t>
      </w:r>
      <w:proofErr w:type="spellStart"/>
      <w:r w:rsidRPr="007B05A3">
        <w:rPr>
          <w:sz w:val="18"/>
          <w:szCs w:val="18"/>
        </w:rPr>
        <w:t>Spain</w:t>
      </w:r>
      <w:proofErr w:type="spellEnd"/>
      <w:r w:rsidRPr="007B05A3">
        <w:rPr>
          <w:sz w:val="18"/>
          <w:szCs w:val="18"/>
        </w:rPr>
        <w:t>.</w:t>
      </w:r>
      <w:r w:rsidR="00C76C09" w:rsidRPr="007B05A3">
        <w:rPr>
          <w:color w:val="212121"/>
          <w:sz w:val="18"/>
          <w:szCs w:val="18"/>
          <w:vertAlign w:val="superscript"/>
          <w:lang w:eastAsia="en-GB"/>
        </w:rPr>
        <w:t xml:space="preserve"> </w:t>
      </w:r>
      <w:r w:rsidR="00C76C09" w:rsidRPr="007B05A3">
        <w:rPr>
          <w:color w:val="212121"/>
          <w:sz w:val="18"/>
          <w:szCs w:val="18"/>
          <w:vertAlign w:val="superscript"/>
          <w:lang w:val="en-GB" w:eastAsia="en-GB"/>
        </w:rPr>
        <w:t>4</w:t>
      </w:r>
      <w:r w:rsidR="00C76C09" w:rsidRPr="007B05A3">
        <w:rPr>
          <w:sz w:val="18"/>
          <w:szCs w:val="18"/>
          <w:lang w:val="en-US"/>
        </w:rPr>
        <w:t>Department of Entomology and Nematology and Comprehensive Cancer Center, University of California, Davis, CA 95616, USA</w:t>
      </w:r>
      <w:r w:rsidR="00C76C09" w:rsidRPr="007B05A3">
        <w:rPr>
          <w:color w:val="212121"/>
          <w:sz w:val="18"/>
          <w:szCs w:val="18"/>
          <w:shd w:val="clear" w:color="auto" w:fill="FFFFFF"/>
          <w:lang w:val="en-GB"/>
        </w:rPr>
        <w:t xml:space="preserve">. </w:t>
      </w:r>
      <w:r w:rsidRPr="007B05A3">
        <w:rPr>
          <w:sz w:val="18"/>
          <w:szCs w:val="18"/>
          <w:lang w:val="en-US"/>
        </w:rPr>
        <w:t xml:space="preserve"> </w:t>
      </w:r>
      <w:r w:rsidR="00C76C09" w:rsidRPr="007B05A3">
        <w:rPr>
          <w:color w:val="212121"/>
          <w:sz w:val="18"/>
          <w:szCs w:val="18"/>
          <w:shd w:val="clear" w:color="auto" w:fill="FFFFFF"/>
          <w:vertAlign w:val="superscript"/>
        </w:rPr>
        <w:t>5</w:t>
      </w:r>
      <w:r w:rsidRPr="007B05A3">
        <w:rPr>
          <w:color w:val="212121"/>
          <w:sz w:val="18"/>
          <w:szCs w:val="18"/>
          <w:shd w:val="clear" w:color="auto" w:fill="FFFFFF"/>
        </w:rPr>
        <w:t xml:space="preserve">Innopharma Screening </w:t>
      </w:r>
      <w:proofErr w:type="spellStart"/>
      <w:r w:rsidRPr="007B05A3">
        <w:rPr>
          <w:color w:val="212121"/>
          <w:sz w:val="18"/>
          <w:szCs w:val="18"/>
          <w:shd w:val="clear" w:color="auto" w:fill="FFFFFF"/>
        </w:rPr>
        <w:t>Platform</w:t>
      </w:r>
      <w:proofErr w:type="spellEnd"/>
      <w:r w:rsidRPr="007B05A3">
        <w:rPr>
          <w:color w:val="212121"/>
          <w:sz w:val="18"/>
          <w:szCs w:val="18"/>
          <w:shd w:val="clear" w:color="auto" w:fill="FFFFFF"/>
        </w:rPr>
        <w:t xml:space="preserve">, </w:t>
      </w:r>
      <w:proofErr w:type="spellStart"/>
      <w:r w:rsidRPr="007B05A3">
        <w:rPr>
          <w:color w:val="212121"/>
          <w:sz w:val="18"/>
          <w:szCs w:val="18"/>
          <w:shd w:val="clear" w:color="auto" w:fill="FFFFFF"/>
        </w:rPr>
        <w:t>Biofarma</w:t>
      </w:r>
      <w:proofErr w:type="spellEnd"/>
      <w:r w:rsidRPr="007B05A3">
        <w:rPr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Pr="007B05A3">
        <w:rPr>
          <w:color w:val="212121"/>
          <w:sz w:val="18"/>
          <w:szCs w:val="18"/>
          <w:shd w:val="clear" w:color="auto" w:fill="FFFFFF"/>
        </w:rPr>
        <w:t>Research</w:t>
      </w:r>
      <w:proofErr w:type="spellEnd"/>
      <w:r w:rsidRPr="007B05A3">
        <w:rPr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Pr="007B05A3">
        <w:rPr>
          <w:color w:val="212121"/>
          <w:sz w:val="18"/>
          <w:szCs w:val="18"/>
          <w:shd w:val="clear" w:color="auto" w:fill="FFFFFF"/>
        </w:rPr>
        <w:t>Group</w:t>
      </w:r>
      <w:proofErr w:type="spellEnd"/>
      <w:r w:rsidRPr="007B05A3">
        <w:rPr>
          <w:color w:val="212121"/>
          <w:sz w:val="18"/>
          <w:szCs w:val="18"/>
          <w:shd w:val="clear" w:color="auto" w:fill="FFFFFF"/>
        </w:rPr>
        <w:t xml:space="preserve">, Centro de Investigación en Medicina Molecular y Enfermedades Crónicas, Universidad de Santiago de Compostela, Edificio CIMUS, Av. </w:t>
      </w:r>
      <w:r w:rsidRPr="007B05A3">
        <w:rPr>
          <w:color w:val="212121"/>
          <w:sz w:val="18"/>
          <w:szCs w:val="18"/>
          <w:shd w:val="clear" w:color="auto" w:fill="FFFFFF"/>
          <w:lang w:val="en-US"/>
        </w:rPr>
        <w:t xml:space="preserve">Barcelona, S/N, E-15706 Santiago de Compostela, Spain. </w:t>
      </w:r>
      <w:r w:rsidR="00C76C09" w:rsidRPr="007B05A3">
        <w:rPr>
          <w:sz w:val="18"/>
          <w:szCs w:val="18"/>
          <w:vertAlign w:val="superscript"/>
          <w:lang w:val="en-US"/>
        </w:rPr>
        <w:t>6</w:t>
      </w:r>
      <w:r w:rsidRPr="007B05A3">
        <w:rPr>
          <w:color w:val="212121"/>
          <w:sz w:val="18"/>
          <w:szCs w:val="18"/>
          <w:shd w:val="clear" w:color="auto" w:fill="FFFFFF"/>
          <w:lang w:val="en-GB"/>
        </w:rPr>
        <w:t xml:space="preserve">August Pi </w:t>
      </w:r>
      <w:proofErr w:type="spellStart"/>
      <w:r w:rsidRPr="007B05A3">
        <w:rPr>
          <w:color w:val="212121"/>
          <w:sz w:val="18"/>
          <w:szCs w:val="18"/>
          <w:shd w:val="clear" w:color="auto" w:fill="FFFFFF"/>
          <w:lang w:val="en-GB"/>
        </w:rPr>
        <w:t>i</w:t>
      </w:r>
      <w:proofErr w:type="spellEnd"/>
      <w:r w:rsidRPr="007B05A3">
        <w:rPr>
          <w:color w:val="21212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 w:rsidRPr="007B05A3">
        <w:rPr>
          <w:color w:val="212121"/>
          <w:sz w:val="18"/>
          <w:szCs w:val="18"/>
          <w:shd w:val="clear" w:color="auto" w:fill="FFFFFF"/>
          <w:lang w:val="en-GB"/>
        </w:rPr>
        <w:t>Sunyer</w:t>
      </w:r>
      <w:proofErr w:type="spellEnd"/>
      <w:r w:rsidRPr="007B05A3">
        <w:rPr>
          <w:color w:val="212121"/>
          <w:sz w:val="18"/>
          <w:szCs w:val="18"/>
          <w:shd w:val="clear" w:color="auto" w:fill="FFFFFF"/>
          <w:lang w:val="en-GB"/>
        </w:rPr>
        <w:t xml:space="preserve"> Biomedical Research Institute (IDIBAPS), Barcelona, Spain. </w:t>
      </w:r>
      <w:r w:rsidR="00C76C09" w:rsidRPr="007B05A3">
        <w:rPr>
          <w:color w:val="212121"/>
          <w:sz w:val="18"/>
          <w:szCs w:val="18"/>
          <w:shd w:val="clear" w:color="auto" w:fill="FFFFFF"/>
          <w:vertAlign w:val="superscript"/>
          <w:lang w:val="en-US"/>
        </w:rPr>
        <w:t>7</w:t>
      </w:r>
      <w:r w:rsidR="00C76C09" w:rsidRPr="007B05A3">
        <w:rPr>
          <w:color w:val="212121"/>
          <w:sz w:val="18"/>
          <w:szCs w:val="18"/>
          <w:shd w:val="clear" w:color="auto" w:fill="FFFFFF"/>
          <w:lang w:val="en-US"/>
        </w:rPr>
        <w:t xml:space="preserve">Department of Pharmacology, Therapeutics and Toxicology, Autonomous University of Barcelona, E-08193 </w:t>
      </w:r>
      <w:proofErr w:type="spellStart"/>
      <w:r w:rsidR="00C76C09" w:rsidRPr="007B05A3">
        <w:rPr>
          <w:color w:val="212121"/>
          <w:sz w:val="18"/>
          <w:szCs w:val="18"/>
          <w:shd w:val="clear" w:color="auto" w:fill="FFFFFF"/>
          <w:lang w:val="en-US"/>
        </w:rPr>
        <w:t>Bellaterra</w:t>
      </w:r>
      <w:proofErr w:type="spellEnd"/>
      <w:r w:rsidR="00C76C09" w:rsidRPr="007B05A3">
        <w:rPr>
          <w:color w:val="212121"/>
          <w:sz w:val="18"/>
          <w:szCs w:val="18"/>
          <w:shd w:val="clear" w:color="auto" w:fill="FFFFFF"/>
          <w:lang w:val="en-US"/>
        </w:rPr>
        <w:t xml:space="preserve">, Spain. </w:t>
      </w:r>
      <w:r w:rsidR="00C76C09" w:rsidRPr="007B05A3">
        <w:rPr>
          <w:rFonts w:eastAsia="Times New Roman"/>
          <w:color w:val="5B616B"/>
          <w:sz w:val="18"/>
          <w:szCs w:val="18"/>
          <w:vertAlign w:val="superscript"/>
          <w:lang w:val="en-GB" w:eastAsia="en-GB"/>
        </w:rPr>
        <w:t>8</w:t>
      </w:r>
      <w:r w:rsidRPr="007B05A3">
        <w:rPr>
          <w:color w:val="212121"/>
          <w:sz w:val="18"/>
          <w:szCs w:val="18"/>
          <w:shd w:val="clear" w:color="auto" w:fill="FFFFFF"/>
          <w:lang w:val="en-GB"/>
        </w:rPr>
        <w:t>Pharmacology Section, Department of Pharmacology, Toxicology and Therapeutic Chemistry, Faculty of Pharmacy and Food Sciences, Institute of Neurosciences (</w:t>
      </w:r>
      <w:proofErr w:type="spellStart"/>
      <w:r w:rsidRPr="007B05A3">
        <w:rPr>
          <w:color w:val="212121"/>
          <w:sz w:val="18"/>
          <w:szCs w:val="18"/>
          <w:shd w:val="clear" w:color="auto" w:fill="FFFFFF"/>
          <w:lang w:val="en-GB"/>
        </w:rPr>
        <w:t>NeuroUB</w:t>
      </w:r>
      <w:proofErr w:type="spellEnd"/>
      <w:r w:rsidRPr="007B05A3">
        <w:rPr>
          <w:color w:val="212121"/>
          <w:sz w:val="18"/>
          <w:szCs w:val="18"/>
          <w:shd w:val="clear" w:color="auto" w:fill="FFFFFF"/>
          <w:lang w:val="en-GB"/>
        </w:rPr>
        <w:t xml:space="preserve">), </w:t>
      </w:r>
      <w:proofErr w:type="spellStart"/>
      <w:r w:rsidRPr="007B05A3">
        <w:rPr>
          <w:color w:val="212121"/>
          <w:sz w:val="18"/>
          <w:szCs w:val="18"/>
          <w:shd w:val="clear" w:color="auto" w:fill="FFFFFF"/>
          <w:lang w:val="en-GB"/>
        </w:rPr>
        <w:t>Universitat</w:t>
      </w:r>
      <w:proofErr w:type="spellEnd"/>
      <w:r w:rsidRPr="007B05A3">
        <w:rPr>
          <w:color w:val="212121"/>
          <w:sz w:val="18"/>
          <w:szCs w:val="18"/>
          <w:shd w:val="clear" w:color="auto" w:fill="FFFFFF"/>
          <w:lang w:val="en-GB"/>
        </w:rPr>
        <w:t xml:space="preserve"> de Barcelona, Av. </w:t>
      </w:r>
      <w:r w:rsidRPr="007B05A3">
        <w:rPr>
          <w:color w:val="212121"/>
          <w:sz w:val="18"/>
          <w:szCs w:val="18"/>
          <w:shd w:val="clear" w:color="auto" w:fill="FFFFFF"/>
        </w:rPr>
        <w:t xml:space="preserve">Joan XXIII 27-31, 08028 Barcelona, </w:t>
      </w:r>
      <w:proofErr w:type="spellStart"/>
      <w:r w:rsidRPr="007B05A3">
        <w:rPr>
          <w:color w:val="212121"/>
          <w:sz w:val="18"/>
          <w:szCs w:val="18"/>
          <w:shd w:val="clear" w:color="auto" w:fill="FFFFFF"/>
        </w:rPr>
        <w:t>Spain</w:t>
      </w:r>
      <w:proofErr w:type="spellEnd"/>
      <w:r w:rsidRPr="007B05A3">
        <w:rPr>
          <w:color w:val="212121"/>
          <w:sz w:val="18"/>
          <w:szCs w:val="18"/>
          <w:shd w:val="clear" w:color="auto" w:fill="FFFFFF"/>
        </w:rPr>
        <w:t xml:space="preserve">. </w:t>
      </w:r>
      <w:r w:rsidR="00C76C09" w:rsidRPr="007B05A3">
        <w:rPr>
          <w:sz w:val="18"/>
          <w:szCs w:val="18"/>
          <w:vertAlign w:val="superscript"/>
        </w:rPr>
        <w:t>9</w:t>
      </w:r>
      <w:r w:rsidRPr="007B05A3">
        <w:rPr>
          <w:sz w:val="18"/>
          <w:szCs w:val="18"/>
        </w:rPr>
        <w:t xml:space="preserve">Institució </w:t>
      </w:r>
      <w:proofErr w:type="gramStart"/>
      <w:r w:rsidRPr="007B05A3">
        <w:rPr>
          <w:sz w:val="18"/>
          <w:szCs w:val="18"/>
        </w:rPr>
        <w:t>Catalana</w:t>
      </w:r>
      <w:proofErr w:type="gramEnd"/>
      <w:r w:rsidRPr="007B05A3">
        <w:rPr>
          <w:sz w:val="18"/>
          <w:szCs w:val="18"/>
        </w:rPr>
        <w:t xml:space="preserve"> de Recerca i </w:t>
      </w:r>
      <w:proofErr w:type="spellStart"/>
      <w:r w:rsidRPr="007B05A3">
        <w:rPr>
          <w:sz w:val="18"/>
          <w:szCs w:val="18"/>
        </w:rPr>
        <w:t>Estudis</w:t>
      </w:r>
      <w:proofErr w:type="spellEnd"/>
      <w:r w:rsidRPr="007B05A3">
        <w:rPr>
          <w:sz w:val="18"/>
          <w:szCs w:val="18"/>
        </w:rPr>
        <w:t xml:space="preserve"> </w:t>
      </w:r>
      <w:proofErr w:type="spellStart"/>
      <w:r w:rsidRPr="007B05A3">
        <w:rPr>
          <w:sz w:val="18"/>
          <w:szCs w:val="18"/>
        </w:rPr>
        <w:t>Avançats</w:t>
      </w:r>
      <w:proofErr w:type="spellEnd"/>
      <w:r w:rsidRPr="007B05A3">
        <w:rPr>
          <w:sz w:val="18"/>
          <w:szCs w:val="18"/>
        </w:rPr>
        <w:t xml:space="preserve"> (ICREA), 08010 Barcelona, </w:t>
      </w:r>
      <w:proofErr w:type="spellStart"/>
      <w:r w:rsidRPr="007B05A3">
        <w:rPr>
          <w:sz w:val="18"/>
          <w:szCs w:val="18"/>
        </w:rPr>
        <w:t>Spain</w:t>
      </w:r>
      <w:proofErr w:type="spellEnd"/>
      <w:r w:rsidRPr="007B05A3">
        <w:rPr>
          <w:sz w:val="18"/>
          <w:szCs w:val="18"/>
        </w:rPr>
        <w:t>.</w:t>
      </w:r>
    </w:p>
    <w:p w14:paraId="695A1AD2" w14:textId="77777777" w:rsidR="007B05A3" w:rsidRPr="007B05A3" w:rsidRDefault="007B05A3" w:rsidP="00A658F1">
      <w:pPr>
        <w:shd w:val="clear" w:color="auto" w:fill="FFFFFF"/>
        <w:spacing w:after="0" w:line="240" w:lineRule="auto"/>
        <w:jc w:val="both"/>
        <w:rPr>
          <w:rFonts w:cstheme="minorHAnsi"/>
          <w:color w:val="212121"/>
          <w:sz w:val="18"/>
          <w:szCs w:val="18"/>
          <w:shd w:val="clear" w:color="auto" w:fill="FFFFFF"/>
        </w:rPr>
      </w:pPr>
    </w:p>
    <w:p w14:paraId="429A83FC" w14:textId="40C3C88D" w:rsidR="004546D6" w:rsidRDefault="00BA409C" w:rsidP="007B05A3">
      <w:pPr>
        <w:pStyle w:val="Senseespaiat"/>
        <w:jc w:val="both"/>
        <w:rPr>
          <w:lang w:val="en-US"/>
        </w:rPr>
      </w:pPr>
      <w:r w:rsidRPr="00DA5A30">
        <w:rPr>
          <w:lang w:val="en-US"/>
        </w:rPr>
        <w:t xml:space="preserve">Chemotherapy-induced neuropathic pain (CINP) is a severe side effect of several anticancer agents, such as oxaliplatin, cisplatin, carboplatin and paclitaxel. The prevalence of CIPN is high, is the primary dose-limiting factor of several chemotherapy </w:t>
      </w:r>
      <w:r w:rsidR="004546D6" w:rsidRPr="00DA5A30">
        <w:rPr>
          <w:lang w:val="en-US"/>
        </w:rPr>
        <w:t>treatments and</w:t>
      </w:r>
      <w:r w:rsidRPr="00DA5A30">
        <w:rPr>
          <w:lang w:val="en-US"/>
        </w:rPr>
        <w:t xml:space="preserve"> can last even after stopping the treatment.</w:t>
      </w:r>
      <w:r w:rsidR="004546D6">
        <w:rPr>
          <w:lang w:val="en-US"/>
        </w:rPr>
        <w:t xml:space="preserve"> Although several analgesics are prescribed to treat painful CIPN, they are either ineffective (NSAIDs) or endowed with severe side effects (narcotics, </w:t>
      </w:r>
      <w:proofErr w:type="spellStart"/>
      <w:r w:rsidR="004546D6">
        <w:rPr>
          <w:lang w:val="en-US"/>
        </w:rPr>
        <w:t>gabapenti</w:t>
      </w:r>
      <w:r w:rsidR="00B4707C">
        <w:rPr>
          <w:lang w:val="en-US"/>
        </w:rPr>
        <w:t>n</w:t>
      </w:r>
      <w:r w:rsidR="004546D6">
        <w:rPr>
          <w:lang w:val="en-US"/>
        </w:rPr>
        <w:t>oids</w:t>
      </w:r>
      <w:proofErr w:type="spellEnd"/>
      <w:r w:rsidR="004546D6">
        <w:rPr>
          <w:lang w:val="en-US"/>
        </w:rPr>
        <w:t>)</w:t>
      </w:r>
      <w:r w:rsidR="00B4707C">
        <w:rPr>
          <w:lang w:val="en-US"/>
        </w:rPr>
        <w:t xml:space="preserve">. </w:t>
      </w:r>
      <w:r w:rsidR="004546D6">
        <w:rPr>
          <w:lang w:val="en-US"/>
        </w:rPr>
        <w:t>Therefore, there are no current therapies that offer adequate relief for CINP</w:t>
      </w:r>
      <w:r w:rsidR="00B4707C">
        <w:rPr>
          <w:lang w:val="en-US"/>
        </w:rPr>
        <w:t xml:space="preserve"> [1]</w:t>
      </w:r>
      <w:r w:rsidR="004546D6">
        <w:rPr>
          <w:lang w:val="en-US"/>
        </w:rPr>
        <w:t>.</w:t>
      </w:r>
    </w:p>
    <w:p w14:paraId="31F19008" w14:textId="77777777" w:rsidR="007B05A3" w:rsidRPr="007B05A3" w:rsidRDefault="007B05A3" w:rsidP="007B05A3">
      <w:pPr>
        <w:pStyle w:val="Senseespaiat"/>
        <w:jc w:val="both"/>
        <w:rPr>
          <w:sz w:val="18"/>
          <w:szCs w:val="20"/>
          <w:lang w:val="en-US"/>
        </w:rPr>
      </w:pPr>
    </w:p>
    <w:p w14:paraId="55741742" w14:textId="1B2F4F56" w:rsidR="00A658F1" w:rsidRDefault="004546D6" w:rsidP="007B05A3">
      <w:pPr>
        <w:pStyle w:val="Senseespaiat"/>
        <w:jc w:val="both"/>
        <w:rPr>
          <w:lang w:val="en-US"/>
        </w:rPr>
      </w:pPr>
      <w:r>
        <w:rPr>
          <w:lang w:val="en-US"/>
        </w:rPr>
        <w:t xml:space="preserve">Soluble epoxide hydrolase inhibitors </w:t>
      </w:r>
      <w:r w:rsidR="00B94C62">
        <w:rPr>
          <w:lang w:val="en-US"/>
        </w:rPr>
        <w:t>(</w:t>
      </w:r>
      <w:proofErr w:type="spellStart"/>
      <w:r w:rsidR="00B94C62">
        <w:rPr>
          <w:lang w:val="en-US"/>
        </w:rPr>
        <w:t>sEHI</w:t>
      </w:r>
      <w:proofErr w:type="spellEnd"/>
      <w:r w:rsidR="00B94C62">
        <w:rPr>
          <w:lang w:val="en-US"/>
        </w:rPr>
        <w:t xml:space="preserve">) </w:t>
      </w:r>
      <w:r>
        <w:rPr>
          <w:lang w:val="en-US"/>
        </w:rPr>
        <w:t xml:space="preserve">are a new class of non-opioid analgesics, </w:t>
      </w:r>
      <w:r w:rsidR="00E7228E">
        <w:rPr>
          <w:lang w:val="en-US"/>
        </w:rPr>
        <w:t xml:space="preserve">with a representative compound, EC5026, </w:t>
      </w:r>
      <w:r>
        <w:rPr>
          <w:lang w:val="en-US"/>
        </w:rPr>
        <w:t>currently in clinical trials for the management of</w:t>
      </w:r>
      <w:r w:rsidR="00B94C62">
        <w:rPr>
          <w:lang w:val="en-US"/>
        </w:rPr>
        <w:t xml:space="preserve"> neuropathic </w:t>
      </w:r>
      <w:r>
        <w:rPr>
          <w:lang w:val="en-US"/>
        </w:rPr>
        <w:t>pain</w:t>
      </w:r>
      <w:r w:rsidR="00B4707C">
        <w:rPr>
          <w:lang w:val="en-US"/>
        </w:rPr>
        <w:t xml:space="preserve"> [2</w:t>
      </w:r>
      <w:r w:rsidR="00D70CE4">
        <w:rPr>
          <w:lang w:val="en-US"/>
        </w:rPr>
        <w:t>,3</w:t>
      </w:r>
      <w:r w:rsidR="00B4707C">
        <w:rPr>
          <w:lang w:val="en-US"/>
        </w:rPr>
        <w:t>]</w:t>
      </w:r>
      <w:r>
        <w:rPr>
          <w:lang w:val="en-US"/>
        </w:rPr>
        <w:t xml:space="preserve">. </w:t>
      </w:r>
      <w:r w:rsidR="00E7228E" w:rsidRPr="00A658F1">
        <w:rPr>
          <w:lang w:val="en-US"/>
        </w:rPr>
        <w:t xml:space="preserve">In the last few years, our group has designed, synthesized and </w:t>
      </w:r>
      <w:r w:rsidR="00B94C62" w:rsidRPr="00A658F1">
        <w:rPr>
          <w:lang w:val="en-US"/>
        </w:rPr>
        <w:t xml:space="preserve">pharmacologically evaluated novel series of potent </w:t>
      </w:r>
      <w:proofErr w:type="spellStart"/>
      <w:r w:rsidR="00A658F1" w:rsidRPr="00A658F1">
        <w:rPr>
          <w:rFonts w:eastAsia="ArnoPro-Regular"/>
          <w:lang w:val="en-US"/>
        </w:rPr>
        <w:t>benzohomoadamantane</w:t>
      </w:r>
      <w:proofErr w:type="spellEnd"/>
      <w:r w:rsidR="00A658F1" w:rsidRPr="00A658F1">
        <w:rPr>
          <w:rFonts w:eastAsia="ArnoPro-Regular"/>
          <w:lang w:val="en-US"/>
        </w:rPr>
        <w:t>-based</w:t>
      </w:r>
      <w:r w:rsidR="00A658F1" w:rsidRPr="00A658F1">
        <w:rPr>
          <w:lang w:val="en-US"/>
        </w:rPr>
        <w:t xml:space="preserve"> </w:t>
      </w:r>
      <w:proofErr w:type="spellStart"/>
      <w:r w:rsidR="00B94C62" w:rsidRPr="00A658F1">
        <w:rPr>
          <w:lang w:val="en-US"/>
        </w:rPr>
        <w:t>sEHI</w:t>
      </w:r>
      <w:proofErr w:type="spellEnd"/>
      <w:r w:rsidR="00B94C62" w:rsidRPr="00A658F1">
        <w:rPr>
          <w:lang w:val="en-US"/>
        </w:rPr>
        <w:t xml:space="preserve"> and we found that a selected compound </w:t>
      </w:r>
      <w:r w:rsidR="00A658F1" w:rsidRPr="00A658F1">
        <w:rPr>
          <w:lang w:val="en-US"/>
        </w:rPr>
        <w:t>presented robust analgesic efficacy in the cyclophosphamide-induced murine model of cystitis, a well-established model of visceral pain</w:t>
      </w:r>
      <w:r w:rsidR="00B4707C">
        <w:rPr>
          <w:lang w:val="en-US"/>
        </w:rPr>
        <w:t xml:space="preserve"> [</w:t>
      </w:r>
      <w:r w:rsidR="00D70CE4">
        <w:rPr>
          <w:lang w:val="en-US"/>
        </w:rPr>
        <w:t>4</w:t>
      </w:r>
      <w:r w:rsidR="00B4707C">
        <w:rPr>
          <w:lang w:val="en-US"/>
        </w:rPr>
        <w:t>]</w:t>
      </w:r>
      <w:r w:rsidR="00A658F1" w:rsidRPr="00A658F1">
        <w:rPr>
          <w:lang w:val="en-US"/>
        </w:rPr>
        <w:t>.</w:t>
      </w:r>
    </w:p>
    <w:p w14:paraId="01035436" w14:textId="77777777" w:rsidR="007B05A3" w:rsidRPr="007B05A3" w:rsidRDefault="007B05A3" w:rsidP="007B05A3">
      <w:pPr>
        <w:pStyle w:val="Senseespaiat"/>
        <w:jc w:val="both"/>
        <w:rPr>
          <w:sz w:val="18"/>
          <w:szCs w:val="20"/>
          <w:lang w:val="en-US"/>
        </w:rPr>
      </w:pPr>
    </w:p>
    <w:p w14:paraId="1D712641" w14:textId="77C25768" w:rsidR="00A658F1" w:rsidRDefault="00A658F1" w:rsidP="007B05A3">
      <w:pPr>
        <w:pStyle w:val="Senseespaiat"/>
        <w:jc w:val="both"/>
        <w:rPr>
          <w:lang w:val="en-US"/>
        </w:rPr>
      </w:pPr>
      <w:r w:rsidRPr="00A658F1">
        <w:rPr>
          <w:color w:val="000000"/>
          <w:lang w:val="en-US"/>
        </w:rPr>
        <w:t xml:space="preserve">Herein, we report </w:t>
      </w:r>
      <w:r w:rsidRPr="00A658F1">
        <w:rPr>
          <w:lang w:val="en-US"/>
        </w:rPr>
        <w:t xml:space="preserve">further medicinal chemistry around </w:t>
      </w:r>
      <w:r w:rsidR="00B4707C">
        <w:rPr>
          <w:lang w:val="en-US"/>
        </w:rPr>
        <w:t>the abovementioned polycyclic scaffold</w:t>
      </w:r>
      <w:r>
        <w:rPr>
          <w:lang w:val="en-US"/>
        </w:rPr>
        <w:t xml:space="preserve"> </w:t>
      </w:r>
      <w:r w:rsidRPr="00A658F1">
        <w:rPr>
          <w:lang w:val="en-US"/>
        </w:rPr>
        <w:t xml:space="preserve">in order to improve </w:t>
      </w:r>
      <w:r w:rsidR="00B4707C">
        <w:rPr>
          <w:lang w:val="en-US"/>
        </w:rPr>
        <w:t>DMPK</w:t>
      </w:r>
      <w:r w:rsidRPr="00A658F1">
        <w:rPr>
          <w:lang w:val="en-US"/>
        </w:rPr>
        <w:t xml:space="preserve"> properties of previous hit</w:t>
      </w:r>
      <w:r>
        <w:rPr>
          <w:lang w:val="en-US"/>
        </w:rPr>
        <w:t>s</w:t>
      </w:r>
      <w:r w:rsidRPr="00A658F1">
        <w:rPr>
          <w:lang w:val="en-US"/>
        </w:rPr>
        <w:t>. After an extensive</w:t>
      </w:r>
      <w:r>
        <w:rPr>
          <w:lang w:val="en-US"/>
        </w:rPr>
        <w:t xml:space="preserve"> </w:t>
      </w:r>
      <w:r w:rsidRPr="00A658F1">
        <w:rPr>
          <w:i/>
          <w:iCs/>
          <w:lang w:val="en-US"/>
        </w:rPr>
        <w:t>in vitro</w:t>
      </w:r>
      <w:r w:rsidRPr="00A658F1">
        <w:rPr>
          <w:lang w:val="en-US"/>
        </w:rPr>
        <w:t xml:space="preserve"> screening cascade, molecular modeling, and </w:t>
      </w:r>
      <w:r w:rsidRPr="00B4707C">
        <w:rPr>
          <w:i/>
          <w:iCs/>
          <w:lang w:val="en-US"/>
        </w:rPr>
        <w:t>in vivo</w:t>
      </w:r>
      <w:r w:rsidRPr="00A658F1">
        <w:rPr>
          <w:lang w:val="en-US"/>
        </w:rPr>
        <w:t xml:space="preserve"> pharmacokinetics studies, </w:t>
      </w:r>
      <w:r>
        <w:rPr>
          <w:lang w:val="en-US"/>
        </w:rPr>
        <w:t xml:space="preserve">a </w:t>
      </w:r>
      <w:r w:rsidRPr="00A658F1">
        <w:rPr>
          <w:lang w:val="en-US"/>
        </w:rPr>
        <w:t>candidate w</w:t>
      </w:r>
      <w:r>
        <w:rPr>
          <w:lang w:val="en-US"/>
        </w:rPr>
        <w:t>as</w:t>
      </w:r>
      <w:r w:rsidRPr="00A658F1">
        <w:rPr>
          <w:lang w:val="en-US"/>
        </w:rPr>
        <w:t xml:space="preserve"> evaluated </w:t>
      </w:r>
      <w:r w:rsidRPr="00A658F1">
        <w:rPr>
          <w:i/>
          <w:iCs/>
          <w:lang w:val="en-US"/>
        </w:rPr>
        <w:t>in vivo</w:t>
      </w:r>
      <w:r w:rsidRPr="00A658F1">
        <w:rPr>
          <w:lang w:val="en-US"/>
        </w:rPr>
        <w:t xml:space="preserve"> in a</w:t>
      </w:r>
      <w:r>
        <w:rPr>
          <w:lang w:val="en-US"/>
        </w:rPr>
        <w:t xml:space="preserve"> murine model of CINP.</w:t>
      </w:r>
    </w:p>
    <w:p w14:paraId="75A02F09" w14:textId="77777777" w:rsidR="007B05A3" w:rsidRPr="007B05A3" w:rsidRDefault="007B05A3" w:rsidP="007B05A3">
      <w:pPr>
        <w:pStyle w:val="Senseespaiat"/>
        <w:rPr>
          <w:sz w:val="18"/>
          <w:szCs w:val="20"/>
          <w:lang w:val="en-US"/>
        </w:rPr>
      </w:pPr>
    </w:p>
    <w:p w14:paraId="77688947" w14:textId="1D395433" w:rsidR="00C77F8B" w:rsidRDefault="004F5DA7" w:rsidP="007B05A3">
      <w:pPr>
        <w:pStyle w:val="Senseespaiat"/>
        <w:jc w:val="both"/>
        <w:rPr>
          <w:color w:val="000000"/>
          <w:lang w:val="en-US"/>
        </w:rPr>
      </w:pPr>
      <w:r w:rsidRPr="004F5DA7">
        <w:rPr>
          <w:color w:val="000000"/>
          <w:lang w:val="en-US"/>
        </w:rPr>
        <w:t>C</w:t>
      </w:r>
      <w:r>
        <w:rPr>
          <w:color w:val="000000"/>
          <w:lang w:val="en-US"/>
        </w:rPr>
        <w:t>INP</w:t>
      </w:r>
      <w:r w:rsidRPr="004F5DA7">
        <w:rPr>
          <w:color w:val="000000"/>
          <w:lang w:val="en-US"/>
        </w:rPr>
        <w:t xml:space="preserve"> was performed by a daily injection of paclitaxel via </w:t>
      </w:r>
      <w:proofErr w:type="spellStart"/>
      <w:r w:rsidRPr="004F5DA7">
        <w:rPr>
          <w:color w:val="000000"/>
          <w:lang w:val="en-US"/>
        </w:rPr>
        <w:t>i.p.</w:t>
      </w:r>
      <w:proofErr w:type="spellEnd"/>
      <w:r w:rsidRPr="004F5DA7">
        <w:rPr>
          <w:color w:val="000000"/>
          <w:lang w:val="en-US"/>
        </w:rPr>
        <w:t xml:space="preserve"> (2 mg/kg), for 5 consecutive days. Mice developed neuropathic mechanical allodynia, which peaked on day 10 after the first paclitaxel administration –time when the acute effects of </w:t>
      </w:r>
      <w:proofErr w:type="spellStart"/>
      <w:r w:rsidRPr="004F5DA7">
        <w:rPr>
          <w:color w:val="000000"/>
          <w:lang w:val="en-US"/>
        </w:rPr>
        <w:t>sEHI</w:t>
      </w:r>
      <w:proofErr w:type="spellEnd"/>
      <w:r w:rsidRPr="004F5DA7">
        <w:rPr>
          <w:color w:val="000000"/>
          <w:lang w:val="en-US"/>
        </w:rPr>
        <w:t xml:space="preserve"> were tested. Subcutaneous administration of EC5026 (1.25-5 mg/kg) or UB-BJ-01 (2.5-5 mg/kg) completely reversed </w:t>
      </w:r>
      <w:r w:rsidR="006C61A7">
        <w:rPr>
          <w:color w:val="000000"/>
          <w:lang w:val="en-US"/>
        </w:rPr>
        <w:t xml:space="preserve">in a dose dependent manner the </w:t>
      </w:r>
      <w:r w:rsidRPr="004F5DA7">
        <w:rPr>
          <w:color w:val="000000"/>
          <w:lang w:val="en-US"/>
        </w:rPr>
        <w:t>sensory hypersensitivity, and this</w:t>
      </w:r>
      <w:r w:rsidR="006C61A7">
        <w:rPr>
          <w:color w:val="000000"/>
          <w:lang w:val="en-US"/>
        </w:rPr>
        <w:t xml:space="preserve"> effect</w:t>
      </w:r>
      <w:r w:rsidRPr="004F5DA7">
        <w:rPr>
          <w:color w:val="000000"/>
          <w:lang w:val="en-US"/>
        </w:rPr>
        <w:t xml:space="preserve"> was abolished by </w:t>
      </w:r>
      <w:r w:rsidR="006C61A7">
        <w:rPr>
          <w:color w:val="000000"/>
          <w:lang w:val="en-US"/>
        </w:rPr>
        <w:t xml:space="preserve">the administration of </w:t>
      </w:r>
      <w:r w:rsidRPr="004F5DA7">
        <w:rPr>
          <w:color w:val="000000"/>
          <w:lang w:val="en-US"/>
        </w:rPr>
        <w:t xml:space="preserve">MSPPOH (20 mg/kg, </w:t>
      </w:r>
      <w:proofErr w:type="spellStart"/>
      <w:r w:rsidRPr="004F5DA7">
        <w:rPr>
          <w:color w:val="000000"/>
          <w:lang w:val="en-US"/>
        </w:rPr>
        <w:t>s.c.</w:t>
      </w:r>
      <w:proofErr w:type="spellEnd"/>
      <w:r w:rsidRPr="004F5DA7">
        <w:rPr>
          <w:color w:val="000000"/>
          <w:lang w:val="en-US"/>
        </w:rPr>
        <w:t xml:space="preserve">), indicating the selectivity of their antiallodynic effects. Finally, administration of UB-BJ-01 (5 mg/kg, </w:t>
      </w:r>
      <w:proofErr w:type="spellStart"/>
      <w:r w:rsidRPr="004F5DA7">
        <w:rPr>
          <w:color w:val="000000"/>
          <w:lang w:val="en-US"/>
        </w:rPr>
        <w:t>s.c.</w:t>
      </w:r>
      <w:proofErr w:type="spellEnd"/>
      <w:r w:rsidRPr="004F5DA7">
        <w:rPr>
          <w:color w:val="000000"/>
          <w:lang w:val="en-US"/>
        </w:rPr>
        <w:t>) 30 min before each paclitaxel injection completely prevented the development of neuropathic allodynia.</w:t>
      </w:r>
    </w:p>
    <w:p w14:paraId="3B5FD99B" w14:textId="77777777" w:rsidR="007B05A3" w:rsidRPr="007B05A3" w:rsidRDefault="007B05A3" w:rsidP="007B05A3">
      <w:pPr>
        <w:pStyle w:val="Senseespaiat"/>
        <w:rPr>
          <w:color w:val="000000"/>
          <w:sz w:val="18"/>
          <w:szCs w:val="20"/>
          <w:lang w:val="en-US"/>
        </w:rPr>
      </w:pPr>
    </w:p>
    <w:p w14:paraId="09AA85A6" w14:textId="77777777" w:rsidR="00B003B8" w:rsidRPr="007B05A3" w:rsidRDefault="001751FA" w:rsidP="007B05A3">
      <w:pPr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7B05A3">
        <w:rPr>
          <w:rFonts w:cstheme="minorHAnsi"/>
          <w:sz w:val="18"/>
          <w:szCs w:val="18"/>
          <w:lang w:val="en-US"/>
        </w:rPr>
        <w:t xml:space="preserve">[1] Chemotherapy-induced peripheral neuropathy: part 1-current state of knowledge and perspectives for pharmacotherapy. </w:t>
      </w:r>
      <w:proofErr w:type="spellStart"/>
      <w:r w:rsidRPr="007B05A3">
        <w:rPr>
          <w:rFonts w:cstheme="minorHAnsi"/>
          <w:i/>
          <w:iCs/>
          <w:sz w:val="18"/>
          <w:szCs w:val="18"/>
          <w:lang w:val="en-US"/>
        </w:rPr>
        <w:t>Pharmacol</w:t>
      </w:r>
      <w:proofErr w:type="spellEnd"/>
      <w:r w:rsidRPr="007B05A3">
        <w:rPr>
          <w:rFonts w:cstheme="minorHAnsi"/>
          <w:i/>
          <w:iCs/>
          <w:sz w:val="18"/>
          <w:szCs w:val="18"/>
          <w:lang w:val="en-US"/>
        </w:rPr>
        <w:t>. Rep.</w:t>
      </w:r>
      <w:r w:rsidRPr="007B05A3">
        <w:rPr>
          <w:rFonts w:cstheme="minorHAnsi"/>
          <w:sz w:val="18"/>
          <w:szCs w:val="18"/>
          <w:lang w:val="en-US"/>
        </w:rPr>
        <w:t xml:space="preserve"> </w:t>
      </w:r>
      <w:r w:rsidRPr="007B05A3">
        <w:rPr>
          <w:rFonts w:cstheme="minorHAnsi"/>
          <w:b/>
          <w:bCs/>
          <w:sz w:val="18"/>
          <w:szCs w:val="18"/>
          <w:lang w:val="en-US"/>
        </w:rPr>
        <w:t>2020</w:t>
      </w:r>
      <w:r w:rsidRPr="007B05A3">
        <w:rPr>
          <w:rFonts w:cstheme="minorHAnsi"/>
          <w:sz w:val="18"/>
          <w:szCs w:val="18"/>
          <w:lang w:val="en-US"/>
        </w:rPr>
        <w:t xml:space="preserve">, </w:t>
      </w:r>
      <w:r w:rsidRPr="007B05A3">
        <w:rPr>
          <w:rFonts w:cstheme="minorHAnsi"/>
          <w:i/>
          <w:iCs/>
          <w:sz w:val="18"/>
          <w:szCs w:val="18"/>
          <w:lang w:val="en-US"/>
        </w:rPr>
        <w:t>72</w:t>
      </w:r>
      <w:r w:rsidRPr="007B05A3">
        <w:rPr>
          <w:rFonts w:cstheme="minorHAnsi"/>
          <w:sz w:val="18"/>
          <w:szCs w:val="18"/>
          <w:lang w:val="en-US"/>
        </w:rPr>
        <w:t>, 486-507.</w:t>
      </w:r>
    </w:p>
    <w:p w14:paraId="009BB1F6" w14:textId="77777777" w:rsidR="00B003B8" w:rsidRPr="007B05A3" w:rsidRDefault="001751FA" w:rsidP="007B05A3">
      <w:pPr>
        <w:spacing w:after="0" w:line="240" w:lineRule="auto"/>
        <w:jc w:val="both"/>
        <w:rPr>
          <w:rFonts w:eastAsia="ArnoPro-Regular" w:cstheme="minorHAnsi"/>
          <w:sz w:val="18"/>
          <w:szCs w:val="18"/>
          <w:lang w:val="en-US"/>
        </w:rPr>
      </w:pPr>
      <w:r w:rsidRPr="007B05A3">
        <w:rPr>
          <w:rFonts w:cstheme="minorHAnsi"/>
          <w:sz w:val="18"/>
          <w:szCs w:val="18"/>
          <w:lang w:val="en-US"/>
        </w:rPr>
        <w:t xml:space="preserve">[2] </w:t>
      </w:r>
      <w:r w:rsidR="00D70CE4" w:rsidRPr="007B05A3">
        <w:rPr>
          <w:rFonts w:eastAsia="ArnoPro-Regular" w:cstheme="minorHAnsi"/>
          <w:sz w:val="18"/>
          <w:szCs w:val="18"/>
          <w:lang w:val="en-US"/>
        </w:rPr>
        <w:t xml:space="preserve">Movement to the clinic of soluble epoxide hydrolase inhibitor EC5026 as an analgesic for neuropathic pain and for use as a nonaddictive opioid alternative. </w:t>
      </w:r>
      <w:r w:rsidR="00D70CE4" w:rsidRPr="007B05A3">
        <w:rPr>
          <w:rFonts w:eastAsia="ArnoPro-Regular" w:cstheme="minorHAnsi"/>
          <w:i/>
          <w:iCs/>
          <w:sz w:val="18"/>
          <w:szCs w:val="18"/>
          <w:lang w:val="en-US"/>
        </w:rPr>
        <w:t xml:space="preserve">J. Med. Chem. </w:t>
      </w:r>
      <w:r w:rsidR="00D70CE4" w:rsidRPr="007B05A3">
        <w:rPr>
          <w:rFonts w:eastAsia="ArnoPro-Regular" w:cstheme="minorHAnsi"/>
          <w:b/>
          <w:sz w:val="18"/>
          <w:szCs w:val="18"/>
          <w:lang w:val="en-US"/>
        </w:rPr>
        <w:t>2021</w:t>
      </w:r>
      <w:r w:rsidR="00D70CE4" w:rsidRPr="007B05A3">
        <w:rPr>
          <w:rFonts w:eastAsia="ArnoPro-Regular" w:cstheme="minorHAnsi"/>
          <w:sz w:val="18"/>
          <w:szCs w:val="18"/>
          <w:lang w:val="en-US"/>
        </w:rPr>
        <w:t xml:space="preserve">, </w:t>
      </w:r>
      <w:r w:rsidR="00D70CE4" w:rsidRPr="007B05A3">
        <w:rPr>
          <w:rFonts w:eastAsia="ArnoPro-Regular" w:cstheme="minorHAnsi"/>
          <w:i/>
          <w:iCs/>
          <w:sz w:val="18"/>
          <w:szCs w:val="18"/>
          <w:lang w:val="en-US"/>
        </w:rPr>
        <w:t>64</w:t>
      </w:r>
      <w:r w:rsidR="00D70CE4" w:rsidRPr="007B05A3">
        <w:rPr>
          <w:rFonts w:eastAsia="ArnoPro-Regular" w:cstheme="minorHAnsi"/>
          <w:sz w:val="18"/>
          <w:szCs w:val="18"/>
          <w:lang w:val="en-US"/>
        </w:rPr>
        <w:t>, 1856−1872.</w:t>
      </w:r>
    </w:p>
    <w:p w14:paraId="284802BE" w14:textId="3F74D853" w:rsidR="00D70CE4" w:rsidRPr="007B05A3" w:rsidRDefault="00D70CE4" w:rsidP="007B05A3">
      <w:pPr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7B05A3">
        <w:rPr>
          <w:rFonts w:eastAsia="ArnoPro-Regular" w:cstheme="minorHAnsi"/>
          <w:sz w:val="18"/>
          <w:szCs w:val="18"/>
          <w:lang w:val="en-US"/>
        </w:rPr>
        <w:t xml:space="preserve">[3] Soluble epoxide hydrolase inhibition alleviates chemotherapy induced neuropathic pain. </w:t>
      </w:r>
      <w:r w:rsidRPr="007B05A3">
        <w:rPr>
          <w:rFonts w:eastAsia="ArnoPro-Regular" w:cstheme="minorHAnsi"/>
          <w:i/>
          <w:sz w:val="18"/>
          <w:szCs w:val="18"/>
          <w:lang w:val="en-US"/>
        </w:rPr>
        <w:t>Front. Pain Res</w:t>
      </w:r>
      <w:r w:rsidRPr="007B05A3">
        <w:rPr>
          <w:rFonts w:eastAsia="ArnoPro-Regular" w:cstheme="minorHAnsi"/>
          <w:sz w:val="18"/>
          <w:szCs w:val="18"/>
          <w:lang w:val="en-US"/>
        </w:rPr>
        <w:t xml:space="preserve">. </w:t>
      </w:r>
      <w:r w:rsidRPr="007B05A3">
        <w:rPr>
          <w:rFonts w:eastAsia="ArnoPro-Regular" w:cstheme="minorHAnsi"/>
          <w:b/>
          <w:sz w:val="18"/>
          <w:szCs w:val="18"/>
          <w:lang w:val="en-US"/>
        </w:rPr>
        <w:t>2023</w:t>
      </w:r>
      <w:r w:rsidRPr="007B05A3">
        <w:rPr>
          <w:rFonts w:eastAsia="ArnoPro-Regular" w:cstheme="minorHAnsi"/>
          <w:sz w:val="18"/>
          <w:szCs w:val="18"/>
          <w:lang w:val="en-US"/>
        </w:rPr>
        <w:t xml:space="preserve">, </w:t>
      </w:r>
      <w:r w:rsidRPr="007B05A3">
        <w:rPr>
          <w:rFonts w:eastAsia="ArnoPro-Regular" w:cstheme="minorHAnsi"/>
          <w:i/>
          <w:sz w:val="18"/>
          <w:szCs w:val="18"/>
          <w:lang w:val="en-US"/>
        </w:rPr>
        <w:t>3</w:t>
      </w:r>
      <w:r w:rsidRPr="007B05A3">
        <w:rPr>
          <w:rFonts w:eastAsia="ArnoPro-Regular" w:cstheme="minorHAnsi"/>
          <w:sz w:val="18"/>
          <w:szCs w:val="18"/>
          <w:lang w:val="en-US"/>
        </w:rPr>
        <w:t>, 1100524.</w:t>
      </w:r>
    </w:p>
    <w:p w14:paraId="0E9D298E" w14:textId="7B72AD91" w:rsidR="001751FA" w:rsidRPr="007B05A3" w:rsidRDefault="001751FA" w:rsidP="007B05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US"/>
        </w:rPr>
      </w:pPr>
      <w:r w:rsidRPr="007B05A3">
        <w:rPr>
          <w:rFonts w:cstheme="minorHAnsi"/>
          <w:sz w:val="18"/>
          <w:szCs w:val="18"/>
          <w:lang w:val="en-US"/>
        </w:rPr>
        <w:t>[</w:t>
      </w:r>
      <w:r w:rsidR="00D70CE4" w:rsidRPr="007B05A3">
        <w:rPr>
          <w:rFonts w:cstheme="minorHAnsi"/>
          <w:sz w:val="18"/>
          <w:szCs w:val="18"/>
          <w:lang w:val="en-US"/>
        </w:rPr>
        <w:t>4</w:t>
      </w:r>
      <w:r w:rsidRPr="007B05A3">
        <w:rPr>
          <w:rFonts w:cstheme="minorHAnsi"/>
          <w:sz w:val="18"/>
          <w:szCs w:val="18"/>
          <w:lang w:val="en-US"/>
        </w:rPr>
        <w:t xml:space="preserve">] Synthesis, </w:t>
      </w:r>
      <w:r w:rsidRPr="007B05A3">
        <w:rPr>
          <w:rFonts w:cstheme="minorHAnsi"/>
          <w:i/>
          <w:sz w:val="18"/>
          <w:szCs w:val="18"/>
          <w:lang w:val="en-US"/>
        </w:rPr>
        <w:t>in vitro</w:t>
      </w:r>
      <w:r w:rsidRPr="007B05A3">
        <w:rPr>
          <w:rFonts w:cstheme="minorHAnsi"/>
          <w:sz w:val="18"/>
          <w:szCs w:val="18"/>
          <w:lang w:val="en-US"/>
        </w:rPr>
        <w:t xml:space="preserve"> profiling, and </w:t>
      </w:r>
      <w:r w:rsidRPr="007B05A3">
        <w:rPr>
          <w:rFonts w:cstheme="minorHAnsi"/>
          <w:i/>
          <w:sz w:val="18"/>
          <w:szCs w:val="18"/>
          <w:lang w:val="en-US"/>
        </w:rPr>
        <w:t>in vivo</w:t>
      </w:r>
      <w:r w:rsidRPr="007B05A3">
        <w:rPr>
          <w:rFonts w:cstheme="minorHAnsi"/>
          <w:sz w:val="18"/>
          <w:szCs w:val="18"/>
          <w:lang w:val="en-US"/>
        </w:rPr>
        <w:t xml:space="preserve"> evaluation of </w:t>
      </w:r>
      <w:proofErr w:type="spellStart"/>
      <w:r w:rsidRPr="007B05A3">
        <w:rPr>
          <w:rFonts w:cstheme="minorHAnsi"/>
          <w:sz w:val="18"/>
          <w:szCs w:val="18"/>
          <w:lang w:val="en-US"/>
        </w:rPr>
        <w:t>benzohomoadamantane</w:t>
      </w:r>
      <w:proofErr w:type="spellEnd"/>
      <w:r w:rsidRPr="007B05A3">
        <w:rPr>
          <w:rFonts w:cstheme="minorHAnsi"/>
          <w:sz w:val="18"/>
          <w:szCs w:val="18"/>
          <w:lang w:val="en-US"/>
        </w:rPr>
        <w:t xml:space="preserve">-based </w:t>
      </w:r>
      <w:proofErr w:type="spellStart"/>
      <w:r w:rsidRPr="007B05A3">
        <w:rPr>
          <w:rFonts w:cstheme="minorHAnsi"/>
          <w:sz w:val="18"/>
          <w:szCs w:val="18"/>
          <w:lang w:val="en-US"/>
        </w:rPr>
        <w:t>ureas</w:t>
      </w:r>
      <w:proofErr w:type="spellEnd"/>
      <w:r w:rsidRPr="007B05A3">
        <w:rPr>
          <w:rFonts w:cstheme="minorHAnsi"/>
          <w:sz w:val="18"/>
          <w:szCs w:val="18"/>
          <w:lang w:val="en-US"/>
        </w:rPr>
        <w:t xml:space="preserve"> for visceral pain: a new indication for soluble epoxide hydrolase inhibitors. </w:t>
      </w:r>
      <w:r w:rsidRPr="007B05A3">
        <w:rPr>
          <w:rFonts w:cstheme="minorHAnsi"/>
          <w:i/>
          <w:iCs/>
          <w:sz w:val="18"/>
          <w:szCs w:val="18"/>
          <w:lang w:val="en-US"/>
        </w:rPr>
        <w:t>J. Med. Chem.</w:t>
      </w:r>
      <w:r w:rsidRPr="007B05A3">
        <w:rPr>
          <w:rFonts w:cstheme="minorHAnsi"/>
          <w:sz w:val="18"/>
          <w:szCs w:val="18"/>
          <w:lang w:val="en-US"/>
        </w:rPr>
        <w:t xml:space="preserve"> </w:t>
      </w:r>
      <w:r w:rsidRPr="007B05A3">
        <w:rPr>
          <w:rFonts w:cstheme="minorHAnsi"/>
          <w:b/>
          <w:bCs/>
          <w:sz w:val="18"/>
          <w:szCs w:val="18"/>
          <w:lang w:val="en-US"/>
        </w:rPr>
        <w:t>2022</w:t>
      </w:r>
      <w:r w:rsidRPr="007B05A3">
        <w:rPr>
          <w:rFonts w:cstheme="minorHAnsi"/>
          <w:sz w:val="18"/>
          <w:szCs w:val="18"/>
          <w:lang w:val="en-US"/>
        </w:rPr>
        <w:t xml:space="preserve">, </w:t>
      </w:r>
      <w:r w:rsidRPr="007B05A3">
        <w:rPr>
          <w:rFonts w:cstheme="minorHAnsi"/>
          <w:i/>
          <w:iCs/>
          <w:sz w:val="18"/>
          <w:szCs w:val="18"/>
          <w:lang w:val="en-US"/>
        </w:rPr>
        <w:t>65</w:t>
      </w:r>
      <w:r w:rsidRPr="007B05A3">
        <w:rPr>
          <w:rFonts w:cstheme="minorHAnsi"/>
          <w:sz w:val="18"/>
          <w:szCs w:val="18"/>
          <w:lang w:val="en-US"/>
        </w:rPr>
        <w:t>, 13660-13680.</w:t>
      </w:r>
      <w:bookmarkStart w:id="0" w:name="_GoBack"/>
      <w:bookmarkEnd w:id="0"/>
    </w:p>
    <w:sectPr w:rsidR="001751FA" w:rsidRPr="007B05A3" w:rsidSect="007B05A3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9C"/>
    <w:rsid w:val="001751FA"/>
    <w:rsid w:val="001C1E32"/>
    <w:rsid w:val="004546D6"/>
    <w:rsid w:val="004F5DA7"/>
    <w:rsid w:val="005F1D0C"/>
    <w:rsid w:val="00673DBD"/>
    <w:rsid w:val="006C61A7"/>
    <w:rsid w:val="007A1715"/>
    <w:rsid w:val="007B05A3"/>
    <w:rsid w:val="007C40CE"/>
    <w:rsid w:val="009B007C"/>
    <w:rsid w:val="00A658F1"/>
    <w:rsid w:val="00AB2793"/>
    <w:rsid w:val="00B003B8"/>
    <w:rsid w:val="00B46A1D"/>
    <w:rsid w:val="00B4707C"/>
    <w:rsid w:val="00B74B81"/>
    <w:rsid w:val="00B94C62"/>
    <w:rsid w:val="00BA409C"/>
    <w:rsid w:val="00C76C09"/>
    <w:rsid w:val="00C77F8B"/>
    <w:rsid w:val="00D25D37"/>
    <w:rsid w:val="00D70CE4"/>
    <w:rsid w:val="00DA5A30"/>
    <w:rsid w:val="00E7228E"/>
    <w:rsid w:val="00E8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DA0FA"/>
  <w15:chartTrackingRefBased/>
  <w15:docId w15:val="{C1FF15C5-EBB4-4366-98FC-1D3CB416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AuthorAddress">
    <w:name w:val="BC_Author_Address"/>
    <w:basedOn w:val="Normal"/>
    <w:next w:val="Normal"/>
    <w:rsid w:val="00DA5A30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Enlla">
    <w:name w:val="Hyperlink"/>
    <w:basedOn w:val="Lletraperdefectedelpargraf"/>
    <w:uiPriority w:val="99"/>
    <w:semiHidden/>
    <w:unhideWhenUsed/>
    <w:rsid w:val="004546D6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C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C61A7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C1E3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C1E3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C1E3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C1E3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C1E32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B46A1D"/>
    <w:pPr>
      <w:spacing w:after="0" w:line="240" w:lineRule="auto"/>
    </w:pPr>
  </w:style>
  <w:style w:type="paragraph" w:styleId="Senseespaiat">
    <w:name w:val="No Spacing"/>
    <w:uiPriority w:val="1"/>
    <w:qFormat/>
    <w:rsid w:val="007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4157</Characters>
  <Application>Microsoft Office Word</Application>
  <DocSecurity>0</DocSecurity>
  <Lines>59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Vazquez</dc:creator>
  <cp:keywords/>
  <dc:description/>
  <cp:lastModifiedBy>Andreea Larisa Turcu</cp:lastModifiedBy>
  <cp:revision>2</cp:revision>
  <dcterms:created xsi:type="dcterms:W3CDTF">2023-11-08T09:05:00Z</dcterms:created>
  <dcterms:modified xsi:type="dcterms:W3CDTF">2023-11-08T09:05:00Z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4daae7f2669559257de97632995fbe9945374999de29eef58da549d54733348d</vt:lpwstr>
  </property>
</Properties>
</file>